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26" w:rsidRDefault="00E22D26" w:rsidP="00E22D26">
      <w:r>
        <w:t xml:space="preserve">UCC’s </w:t>
      </w:r>
      <w:r w:rsidR="00395C29">
        <w:t>Course Learning Outcome</w:t>
      </w:r>
      <w:r>
        <w:t xml:space="preserve"> assessment process is designed to maximize reflection on teaching and learning, while allowing us to demonstrate formal assessment processes. This assessment form facilitates a systematic examination of the connection between a course outcome, teaching and learning strategies, and assessments. </w:t>
      </w:r>
    </w:p>
    <w:p w:rsidR="00E517E7" w:rsidRDefault="00E517E7" w:rsidP="00E22D26"/>
    <w:p w:rsidR="00E22D26" w:rsidRDefault="00E22D26" w:rsidP="00E22D26">
      <w:r>
        <w:t xml:space="preserve">Instructors should focus on </w:t>
      </w:r>
      <w:r w:rsidR="006E752A">
        <w:t>outcomes or assessments that have felt challenging. By addressing these outcomes or assessments, this becomes a meaningful exercise that can be applied to all other outcome and assessment work. These</w:t>
      </w:r>
      <w:r>
        <w:t xml:space="preserve"> forms will </w:t>
      </w:r>
      <w:r w:rsidR="006E752A">
        <w:t>never</w:t>
      </w:r>
      <w:r>
        <w:t xml:space="preserve"> be reviewed punitively; rather, they will be reviewed for a demonstration of the improvement processes that faculty </w:t>
      </w:r>
      <w:r w:rsidR="00E87CE5">
        <w:t>regularly engage in to increase student success</w:t>
      </w:r>
      <w:r>
        <w:t>.</w:t>
      </w:r>
    </w:p>
    <w:p w:rsidR="00E22D26" w:rsidRDefault="00E22D26" w:rsidP="00E22D26"/>
    <w:p w:rsidR="00E22D26" w:rsidRDefault="00E22D26" w:rsidP="00E22D26">
      <w:r w:rsidRPr="00D8202C">
        <w:rPr>
          <w:b/>
        </w:rPr>
        <w:t xml:space="preserve">To </w:t>
      </w:r>
      <w:r>
        <w:rPr>
          <w:b/>
        </w:rPr>
        <w:t>complete, Choose ONE outcome. Fill out the following columns:</w:t>
      </w:r>
    </w:p>
    <w:p w:rsidR="00E22D26" w:rsidRPr="00CB5B9F" w:rsidRDefault="00E22D26" w:rsidP="00E22D26">
      <w:pPr>
        <w:pStyle w:val="ListParagraph"/>
        <w:numPr>
          <w:ilvl w:val="0"/>
          <w:numId w:val="1"/>
        </w:numPr>
        <w:ind w:left="360"/>
        <w:rPr>
          <w:b/>
        </w:rPr>
      </w:pPr>
      <w:r w:rsidRPr="00CB5B9F">
        <w:rPr>
          <w:b/>
        </w:rPr>
        <w:t>Outcome</w:t>
      </w:r>
      <w:r w:rsidR="00E517E7">
        <w:rPr>
          <w:b/>
        </w:rPr>
        <w:t xml:space="preserve"> competency</w:t>
      </w:r>
      <w:r w:rsidRPr="00CB5B9F">
        <w:rPr>
          <w:b/>
        </w:rPr>
        <w:t xml:space="preserve"> </w:t>
      </w:r>
    </w:p>
    <w:p w:rsidR="00E87CE5" w:rsidRDefault="006E752A" w:rsidP="00C63B5A">
      <w:pPr>
        <w:pStyle w:val="Header"/>
        <w:ind w:left="360"/>
      </w:pPr>
      <w:r>
        <w:t xml:space="preserve">List the specific ways (3-6) that students demonstrate their ability, or competency, to perform this learning outcome. Learning Outcomes state what students should learn; competencies state what students should be able to do to demonstrate that they have met the outcome. </w:t>
      </w:r>
      <w:r w:rsidR="00E22D26">
        <w:t>Starting with a measurable verb, finish the phrase, “To demonstrate this outcome, students should…”</w:t>
      </w:r>
      <w:r w:rsidR="00E87CE5">
        <w:t xml:space="preserve"> </w:t>
      </w:r>
      <w:r w:rsidR="00C63B5A">
        <w:t>…</w:t>
      </w:r>
      <w:r w:rsidR="00C63B5A" w:rsidRPr="00C63B5A">
        <w:t xml:space="preserve">”apply the correct statistical model to determine a data inference…clearly describe the </w:t>
      </w:r>
      <w:proofErr w:type="gramStart"/>
      <w:r w:rsidR="00C63B5A" w:rsidRPr="00C63B5A">
        <w:t>cell’s</w:t>
      </w:r>
      <w:proofErr w:type="gramEnd"/>
      <w:r w:rsidR="00C63B5A" w:rsidRPr="00C63B5A">
        <w:t xml:space="preserve"> metabolic processes…demonstrate the ability to revise drafts based on constructive feedback…</w:t>
      </w:r>
      <w:proofErr w:type="spellStart"/>
      <w:r w:rsidR="00C63B5A" w:rsidRPr="00C63B5A">
        <w:t>etc</w:t>
      </w:r>
      <w:proofErr w:type="spellEnd"/>
      <w:r w:rsidR="00C63B5A" w:rsidRPr="00C63B5A">
        <w:t>”</w:t>
      </w:r>
    </w:p>
    <w:p w:rsidR="00E87CE5" w:rsidRDefault="00E87CE5" w:rsidP="00E87CE5">
      <w:pPr>
        <w:pStyle w:val="ListParagraph"/>
        <w:ind w:left="360"/>
      </w:pPr>
    </w:p>
    <w:p w:rsidR="00E22D26" w:rsidRPr="00976424" w:rsidRDefault="00E22D26" w:rsidP="00E87CE5">
      <w:pPr>
        <w:pStyle w:val="ListParagraph"/>
        <w:ind w:left="360"/>
        <w:rPr>
          <w:i/>
        </w:rPr>
      </w:pPr>
      <w:r w:rsidRPr="00976424">
        <w:rPr>
          <w:i/>
        </w:rPr>
        <w:t>For each of these</w:t>
      </w:r>
      <w:r w:rsidR="006E752A">
        <w:rPr>
          <w:i/>
        </w:rPr>
        <w:t xml:space="preserve"> competencies</w:t>
      </w:r>
      <w:r w:rsidRPr="00976424">
        <w:rPr>
          <w:i/>
        </w:rPr>
        <w:t>, include in the remaining columns:</w:t>
      </w:r>
    </w:p>
    <w:p w:rsidR="00E22D26" w:rsidRPr="00CB5B9F" w:rsidRDefault="00E22D26" w:rsidP="00E22D26">
      <w:pPr>
        <w:pStyle w:val="ListParagraph"/>
        <w:numPr>
          <w:ilvl w:val="0"/>
          <w:numId w:val="1"/>
        </w:numPr>
        <w:ind w:left="360"/>
        <w:rPr>
          <w:b/>
        </w:rPr>
      </w:pPr>
      <w:r w:rsidRPr="00CB5B9F">
        <w:rPr>
          <w:b/>
        </w:rPr>
        <w:t xml:space="preserve">Teaching and Learning Strategies </w:t>
      </w:r>
    </w:p>
    <w:p w:rsidR="00135D5B" w:rsidRDefault="00135D5B" w:rsidP="00135D5B">
      <w:pPr>
        <w:pStyle w:val="ListParagraph"/>
        <w:ind w:left="360"/>
      </w:pPr>
      <w:r>
        <w:t xml:space="preserve">Describe how material related to the chosen outcome is delivered to students (i.e. graded assignments; reading; practice labs; in class activities lecture; experiential learning; </w:t>
      </w:r>
      <w:proofErr w:type="spellStart"/>
      <w:r>
        <w:t>etc</w:t>
      </w:r>
      <w:proofErr w:type="spellEnd"/>
      <w:r>
        <w:t>)</w:t>
      </w:r>
    </w:p>
    <w:p w:rsidR="00E22D26" w:rsidRDefault="00E22D26" w:rsidP="00E22D26">
      <w:pPr>
        <w:pStyle w:val="ListParagraph"/>
        <w:ind w:left="360"/>
      </w:pPr>
    </w:p>
    <w:p w:rsidR="00E22D26" w:rsidRPr="00CB5B9F" w:rsidRDefault="00E22D26" w:rsidP="00E22D26">
      <w:pPr>
        <w:pStyle w:val="ListParagraph"/>
        <w:numPr>
          <w:ilvl w:val="0"/>
          <w:numId w:val="1"/>
        </w:numPr>
        <w:ind w:left="360"/>
        <w:rPr>
          <w:b/>
        </w:rPr>
      </w:pPr>
      <w:r w:rsidRPr="00CB5B9F">
        <w:rPr>
          <w:b/>
        </w:rPr>
        <w:t xml:space="preserve">Brief description of specific, graded formal summative assessment </w:t>
      </w:r>
    </w:p>
    <w:p w:rsidR="00E22D26" w:rsidRDefault="00E22D26" w:rsidP="00E22D26">
      <w:pPr>
        <w:pStyle w:val="ListParagraph"/>
        <w:ind w:left="360"/>
      </w:pPr>
      <w:r>
        <w:t xml:space="preserve">Describe the assignment that </w:t>
      </w:r>
      <w:r w:rsidR="00CF68DE">
        <w:t>evaluates the</w:t>
      </w:r>
      <w:r>
        <w:t xml:space="preserve"> student’s achievement</w:t>
      </w:r>
      <w:r w:rsidR="00CF68DE">
        <w:t xml:space="preserve"> of competency/ability to perform the learning outcome at the most comprehensive level taught in the course. These assessments should directly measure the outcome, and represent the highest level of learning achievement. </w:t>
      </w:r>
      <w:r>
        <w:t>(</w:t>
      </w:r>
      <w:proofErr w:type="gramStart"/>
      <w:r>
        <w:t>i.e</w:t>
      </w:r>
      <w:proofErr w:type="gramEnd"/>
      <w:r>
        <w:t xml:space="preserve">. Second exam-questions 3-8; group research project; Theoretical reflection; Final essay; </w:t>
      </w:r>
      <w:proofErr w:type="spellStart"/>
      <w:r>
        <w:t>etc</w:t>
      </w:r>
      <w:proofErr w:type="spellEnd"/>
      <w:r>
        <w:t>)</w:t>
      </w:r>
    </w:p>
    <w:p w:rsidR="00E22D26" w:rsidRDefault="00E22D26" w:rsidP="00E22D26">
      <w:pPr>
        <w:pStyle w:val="ListParagraph"/>
        <w:ind w:left="360"/>
      </w:pPr>
    </w:p>
    <w:p w:rsidR="00E22D26" w:rsidRDefault="00E22D26" w:rsidP="00E22D26">
      <w:pPr>
        <w:pStyle w:val="ListParagraph"/>
        <w:numPr>
          <w:ilvl w:val="0"/>
          <w:numId w:val="1"/>
        </w:numPr>
        <w:ind w:left="360"/>
        <w:rPr>
          <w:b/>
        </w:rPr>
      </w:pPr>
      <w:r w:rsidRPr="00CB5B9F">
        <w:rPr>
          <w:b/>
        </w:rPr>
        <w:t xml:space="preserve">Assessment results </w:t>
      </w:r>
    </w:p>
    <w:p w:rsidR="00CF68DE" w:rsidRDefault="00343431" w:rsidP="00E22D26">
      <w:pPr>
        <w:pStyle w:val="ListParagraph"/>
        <w:ind w:left="360"/>
      </w:pPr>
      <w:r>
        <w:t>For each competency listed, d</w:t>
      </w:r>
      <w:r w:rsidR="00135D5B">
        <w:t>escribe how students performed on the assessment of each competency.</w:t>
      </w:r>
      <w:r w:rsidR="00E22D26">
        <w:t xml:space="preserve"> Discuss how many achieved </w:t>
      </w:r>
      <w:r w:rsidR="00AA1056">
        <w:t>what results. Be specific, using quantitative measures, like 26% of students</w:t>
      </w:r>
      <w:r w:rsidR="00CF68DE">
        <w:t xml:space="preserve"> or 11/29 students, along with qualitative observations.</w:t>
      </w:r>
    </w:p>
    <w:p w:rsidR="00343431" w:rsidRDefault="00343431" w:rsidP="006F6369">
      <w:pPr>
        <w:pStyle w:val="ListParagraph"/>
        <w:numPr>
          <w:ilvl w:val="0"/>
          <w:numId w:val="6"/>
        </w:numPr>
      </w:pPr>
      <w:r>
        <w:t xml:space="preserve">On the exam question, </w:t>
      </w:r>
      <w:r w:rsidR="00E22D26">
        <w:t>“30% of students could describe the pathway in its entirety; 44% could describe</w:t>
      </w:r>
      <w:r w:rsidR="00CF68DE">
        <w:t xml:space="preserve"> the pathway</w:t>
      </w:r>
      <w:r w:rsidR="00E22D26">
        <w:t xml:space="preserve"> around 50% accuracy, remaining students were below 50</w:t>
      </w:r>
      <w:r>
        <w:t>%, with most not able to answer.</w:t>
      </w:r>
    </w:p>
    <w:p w:rsidR="00E22D26" w:rsidRDefault="00E22D26" w:rsidP="006F6369">
      <w:pPr>
        <w:pStyle w:val="ListParagraph"/>
        <w:numPr>
          <w:ilvl w:val="0"/>
          <w:numId w:val="6"/>
        </w:numPr>
      </w:pPr>
      <w:r>
        <w:t>“15 students achieved the highest competency on the rubric, meaning they used varied concepts of rhetoric to analyze the text using comple</w:t>
      </w:r>
      <w:r w:rsidR="00AA1056">
        <w:t xml:space="preserve">x examples. 8 Students met passing requirements on the rubric, which meant they used 1-2 concepts of rhetoric to analyze the text with adequate examples…” </w:t>
      </w:r>
      <w:proofErr w:type="spellStart"/>
      <w:r w:rsidR="00AA1056">
        <w:t>etc</w:t>
      </w:r>
      <w:proofErr w:type="spellEnd"/>
    </w:p>
    <w:p w:rsidR="00AA1056" w:rsidRDefault="00AA1056" w:rsidP="00E22D26">
      <w:pPr>
        <w:pStyle w:val="ListParagraph"/>
        <w:ind w:left="360"/>
      </w:pPr>
    </w:p>
    <w:p w:rsidR="00AA1056" w:rsidRDefault="00AA1056" w:rsidP="00AA1056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Next steps for improving student learning</w:t>
      </w:r>
    </w:p>
    <w:p w:rsidR="00DE4AFF" w:rsidRDefault="00DE4AFF" w:rsidP="00AA1056">
      <w:pPr>
        <w:pStyle w:val="ListParagraph"/>
        <w:ind w:left="360"/>
      </w:pPr>
      <w:r>
        <w:t>Reflect briefly on the assessment results and create a plan to help students achieve the one or more learning outcome indicators more effectively the next time the course will be taught. These next steps should:</w:t>
      </w:r>
    </w:p>
    <w:p w:rsidR="00DE4AFF" w:rsidRDefault="00DE4AFF" w:rsidP="00DE4AFF">
      <w:pPr>
        <w:pStyle w:val="ListParagraph"/>
        <w:numPr>
          <w:ilvl w:val="0"/>
          <w:numId w:val="7"/>
        </w:numPr>
      </w:pPr>
      <w:r>
        <w:t>Connect directly to specific indicators, versus a broad examination of the course/outcomes</w:t>
      </w:r>
    </w:p>
    <w:p w:rsidR="00DE4AFF" w:rsidRDefault="00DE4AFF" w:rsidP="00DE4AFF">
      <w:pPr>
        <w:pStyle w:val="ListParagraph"/>
        <w:numPr>
          <w:ilvl w:val="0"/>
          <w:numId w:val="7"/>
        </w:numPr>
      </w:pPr>
      <w:r>
        <w:t>Consider active teaching and learning strategies, and/or formative (practice assignments) where appropriate (Are there other teaching and learning strategies you plan to implement?)</w:t>
      </w:r>
    </w:p>
    <w:p w:rsidR="00E87CE5" w:rsidRDefault="00DE4AFF" w:rsidP="00B31551">
      <w:pPr>
        <w:pStyle w:val="ListParagraph"/>
        <w:numPr>
          <w:ilvl w:val="0"/>
          <w:numId w:val="7"/>
        </w:numPr>
        <w:sectPr w:rsidR="00E87CE5" w:rsidSect="0056240F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Consider future summative assessment techniques (will you change the assessment you gave?)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2523"/>
        <w:gridCol w:w="3147"/>
        <w:gridCol w:w="3325"/>
      </w:tblGrid>
      <w:tr w:rsidR="00E87CE5" w:rsidRPr="00002DB6" w:rsidTr="00343431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Instructor 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  <w:r w:rsidRPr="00002D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t>Number of students assessed</w:t>
            </w:r>
            <w:r w:rsidR="003434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↓</w:t>
            </w:r>
          </w:p>
        </w:tc>
      </w:tr>
      <w:tr w:rsidR="00E87CE5" w:rsidRPr="00002DB6" w:rsidTr="00343431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t>Department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t>Quarter/Year assessed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  <w:r w:rsidRPr="00002D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  <w:r w:rsidRPr="00002D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7CE5" w:rsidRPr="00002DB6" w:rsidTr="00343431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01845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t>Area of Study</w:t>
            </w:r>
            <w:r w:rsidR="00F01845">
              <w:rPr>
                <w:rFonts w:ascii="Calibri" w:eastAsia="Times New Roman" w:hAnsi="Calibri" w:cs="Calibri"/>
                <w:b/>
                <w:bCs/>
                <w:color w:val="000000"/>
              </w:rPr>
              <w:t>/Program/</w:t>
            </w:r>
          </w:p>
          <w:p w:rsidR="00E87CE5" w:rsidRPr="00002DB6" w:rsidRDefault="00F0184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Group of Courses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t>Course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  <w:r w:rsidRPr="00002D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  <w:r w:rsidRPr="00002D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7CE5" w:rsidRPr="00002DB6" w:rsidTr="00343431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Outcome: </w:t>
            </w:r>
            <w:r w:rsidRPr="00002DB6">
              <w:rPr>
                <w:rFonts w:ascii="Calibri" w:eastAsia="Times New Roman" w:hAnsi="Calibri" w:cs="Calibri"/>
                <w:color w:val="000000"/>
              </w:rPr>
              <w:t>After completing the course, each student should be able to…</w:t>
            </w:r>
          </w:p>
        </w:tc>
        <w:tc>
          <w:tcPr>
            <w:tcW w:w="1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87CE5" w:rsidRPr="00002DB6" w:rsidTr="00343431">
        <w:trPr>
          <w:trHeight w:val="71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87CE5" w:rsidRPr="00E517E7" w:rsidRDefault="00E87CE5" w:rsidP="003434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3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7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Outcome </w:t>
            </w:r>
            <w:r w:rsidR="00E517E7" w:rsidRPr="00E517E7">
              <w:rPr>
                <w:rFonts w:ascii="Calibri" w:eastAsia="Times New Roman" w:hAnsi="Calibri" w:cs="Calibri"/>
                <w:b/>
                <w:bCs/>
                <w:color w:val="000000"/>
              </w:rPr>
              <w:t>competency</w:t>
            </w:r>
            <w:r w:rsidRPr="00E517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87CE5" w:rsidRPr="00343431" w:rsidRDefault="00E87CE5" w:rsidP="003434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3431">
              <w:rPr>
                <w:rFonts w:ascii="Calibri" w:eastAsia="Times New Roman" w:hAnsi="Calibri" w:cs="Calibri"/>
                <w:b/>
                <w:bCs/>
                <w:color w:val="000000"/>
              </w:rPr>
              <w:t>Teaching and Learning Strategies</w:t>
            </w:r>
            <w:r w:rsidRPr="00343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87CE5" w:rsidRPr="00343431" w:rsidRDefault="00E87CE5" w:rsidP="003434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1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431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3434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pecific </w:t>
            </w:r>
            <w:r w:rsidRPr="00343431">
              <w:rPr>
                <w:rFonts w:ascii="Calibri" w:eastAsia="Times New Roman" w:hAnsi="Calibri" w:cs="Calibri"/>
                <w:b/>
                <w:bCs/>
                <w:color w:val="000000"/>
              </w:rPr>
              <w:t>assessment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87CE5" w:rsidRPr="00343431" w:rsidRDefault="00E87CE5" w:rsidP="003434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4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3431">
              <w:rPr>
                <w:rFonts w:ascii="Calibri" w:eastAsia="Times New Roman" w:hAnsi="Calibri" w:cs="Calibri"/>
                <w:b/>
                <w:bCs/>
                <w:color w:val="000000"/>
              </w:rPr>
              <w:t>Results of assessment</w:t>
            </w:r>
            <w:r w:rsidRPr="00343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87CE5" w:rsidRPr="00343431" w:rsidRDefault="00E87CE5" w:rsidP="003434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6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3431">
              <w:rPr>
                <w:rFonts w:ascii="Calibri" w:eastAsia="Times New Roman" w:hAnsi="Calibri" w:cs="Calibri"/>
                <w:b/>
                <w:bCs/>
                <w:color w:val="000000"/>
              </w:rPr>
              <w:t>Next steps for improving student learning</w:t>
            </w:r>
            <w:r w:rsidRPr="00343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43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E87CE5" w:rsidRPr="00002DB6" w:rsidTr="00343431">
        <w:trPr>
          <w:trHeight w:val="2753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5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  <w:r w:rsidRPr="00002DB6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87CE5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</w:p>
          <w:p w:rsidR="00E87CE5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</w:p>
          <w:p w:rsidR="00E87CE5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</w:p>
          <w:p w:rsidR="00E87CE5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</w:p>
          <w:p w:rsidR="00E87CE5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</w:p>
          <w:p w:rsidR="00E87CE5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</w:p>
          <w:p w:rsidR="00E87CE5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</w:p>
          <w:p w:rsidR="00E87CE5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</w:p>
          <w:p w:rsidR="00E87CE5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</w:p>
          <w:p w:rsidR="00E87CE5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</w:p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  <w:r w:rsidRPr="00002D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  <w:r w:rsidRPr="00002D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7CE5" w:rsidRPr="00002DB6" w:rsidTr="00343431">
        <w:trPr>
          <w:trHeight w:val="30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CE5" w:rsidRPr="00002DB6" w:rsidRDefault="00E87CE5" w:rsidP="00DB0D0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1C3" w:rsidRPr="00002DB6" w:rsidTr="00343431">
        <w:trPr>
          <w:trHeight w:val="9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DA01C3" w:rsidRPr="00002DB6" w:rsidRDefault="00DA01C3" w:rsidP="00E87CE5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t>If you assessed the same course outcome as last year, how have the results of student learning changed?</w:t>
            </w:r>
          </w:p>
        </w:tc>
        <w:tc>
          <w:tcPr>
            <w:tcW w:w="1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1C3" w:rsidRPr="00002DB6" w:rsidRDefault="00DA01C3" w:rsidP="00E87CE5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DA01C3" w:rsidRPr="00002DB6" w:rsidRDefault="00DA01C3" w:rsidP="00E87CE5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  <w:r w:rsidRPr="00002DB6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DA01C3" w:rsidRPr="00002DB6" w:rsidRDefault="00DA01C3" w:rsidP="00E87CE5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  <w:r w:rsidRPr="00002DB6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DA01C3" w:rsidRPr="00002DB6" w:rsidRDefault="00DA01C3" w:rsidP="00E87CE5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  <w:r w:rsidRPr="00002D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17E7" w:rsidRPr="00002DB6" w:rsidTr="00343431">
        <w:trPr>
          <w:trHeight w:val="827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E517E7" w:rsidRPr="00002DB6" w:rsidRDefault="00E517E7" w:rsidP="00DB0D01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DB6">
              <w:rPr>
                <w:rFonts w:ascii="Calibri" w:eastAsia="Times New Roman" w:hAnsi="Calibri" w:cs="Calibri"/>
                <w:b/>
                <w:bCs/>
                <w:color w:val="000000"/>
              </w:rPr>
              <w:t>Overall, using your judgment, how well did students perform on this course outcome?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E7" w:rsidRPr="00002DB6" w:rsidRDefault="00E517E7" w:rsidP="00DB0D01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DB6">
              <w:rPr>
                <w:rFonts w:ascii="Calibri" w:eastAsia="Times New Roman" w:hAnsi="Calibri" w:cs="Calibri"/>
                <w:color w:val="000000"/>
              </w:rPr>
              <w:t>Did not meet achievement standards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E7" w:rsidRPr="00002DB6" w:rsidRDefault="00E517E7" w:rsidP="00DB0D01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DB6">
              <w:rPr>
                <w:rFonts w:ascii="Calibri" w:eastAsia="Times New Roman" w:hAnsi="Calibri" w:cs="Calibri"/>
                <w:color w:val="000000"/>
              </w:rPr>
              <w:t>Met achievement standards</w:t>
            </w:r>
          </w:p>
        </w:tc>
      </w:tr>
    </w:tbl>
    <w:p w:rsidR="00A92688" w:rsidRPr="00E22D26" w:rsidRDefault="00A92688" w:rsidP="00E87CE5"/>
    <w:sectPr w:rsidR="00A92688" w:rsidRPr="00E22D26" w:rsidSect="00E87C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E5" w:rsidRDefault="00E87CE5" w:rsidP="00E87CE5">
      <w:pPr>
        <w:spacing w:after="0" w:line="240" w:lineRule="auto"/>
      </w:pPr>
      <w:r>
        <w:separator/>
      </w:r>
    </w:p>
  </w:endnote>
  <w:endnote w:type="continuationSeparator" w:id="0">
    <w:p w:rsidR="00E87CE5" w:rsidRDefault="00E87CE5" w:rsidP="00E8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E5" w:rsidRDefault="00E87CE5" w:rsidP="00E87CE5">
      <w:pPr>
        <w:spacing w:after="0" w:line="240" w:lineRule="auto"/>
      </w:pPr>
      <w:r>
        <w:separator/>
      </w:r>
    </w:p>
  </w:footnote>
  <w:footnote w:type="continuationSeparator" w:id="0">
    <w:p w:rsidR="00E87CE5" w:rsidRDefault="00E87CE5" w:rsidP="00E8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E5" w:rsidRPr="00E87CE5" w:rsidRDefault="00E87CE5" w:rsidP="00E87CE5">
    <w:pPr>
      <w:jc w:val="center"/>
      <w:rPr>
        <w:b/>
      </w:rPr>
    </w:pPr>
    <w:r>
      <w:rPr>
        <w:b/>
      </w:rPr>
      <w:t>Course Level Outcome Assessments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156"/>
    <w:multiLevelType w:val="hybridMultilevel"/>
    <w:tmpl w:val="ECD42390"/>
    <w:lvl w:ilvl="0" w:tplc="56928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F7DE2"/>
    <w:multiLevelType w:val="hybridMultilevel"/>
    <w:tmpl w:val="69FC6240"/>
    <w:lvl w:ilvl="0" w:tplc="AA309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2593"/>
    <w:multiLevelType w:val="hybridMultilevel"/>
    <w:tmpl w:val="4A8A0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46DD3"/>
    <w:multiLevelType w:val="hybridMultilevel"/>
    <w:tmpl w:val="E6FAC662"/>
    <w:lvl w:ilvl="0" w:tplc="BF2A61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6548"/>
    <w:multiLevelType w:val="hybridMultilevel"/>
    <w:tmpl w:val="D8B8A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63EB7"/>
    <w:multiLevelType w:val="hybridMultilevel"/>
    <w:tmpl w:val="B498BB8E"/>
    <w:lvl w:ilvl="0" w:tplc="BB9252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C70D0C"/>
    <w:multiLevelType w:val="hybridMultilevel"/>
    <w:tmpl w:val="60480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3015B"/>
    <w:multiLevelType w:val="hybridMultilevel"/>
    <w:tmpl w:val="197E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F3E57"/>
    <w:multiLevelType w:val="hybridMultilevel"/>
    <w:tmpl w:val="D8A4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88"/>
    <w:rsid w:val="000374BD"/>
    <w:rsid w:val="00135D5B"/>
    <w:rsid w:val="00153910"/>
    <w:rsid w:val="002B4CDD"/>
    <w:rsid w:val="00343431"/>
    <w:rsid w:val="00395C29"/>
    <w:rsid w:val="005326DC"/>
    <w:rsid w:val="0056240F"/>
    <w:rsid w:val="005B3101"/>
    <w:rsid w:val="006E752A"/>
    <w:rsid w:val="007A700B"/>
    <w:rsid w:val="008024B4"/>
    <w:rsid w:val="008D1D7B"/>
    <w:rsid w:val="009B06B8"/>
    <w:rsid w:val="009F6226"/>
    <w:rsid w:val="00A92688"/>
    <w:rsid w:val="00AA1056"/>
    <w:rsid w:val="00AA2E20"/>
    <w:rsid w:val="00B22F72"/>
    <w:rsid w:val="00C63B5A"/>
    <w:rsid w:val="00CF68DE"/>
    <w:rsid w:val="00D8202C"/>
    <w:rsid w:val="00DA01C3"/>
    <w:rsid w:val="00DE4AFF"/>
    <w:rsid w:val="00E22D26"/>
    <w:rsid w:val="00E517E7"/>
    <w:rsid w:val="00E87CE5"/>
    <w:rsid w:val="00F0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18788C"/>
  <w15:chartTrackingRefBased/>
  <w15:docId w15:val="{02D3E16B-AA00-4818-9CBA-F07D22C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D26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8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CE5"/>
  </w:style>
  <w:style w:type="paragraph" w:styleId="Footer">
    <w:name w:val="footer"/>
    <w:basedOn w:val="Normal"/>
    <w:link w:val="FooterChar"/>
    <w:uiPriority w:val="99"/>
    <w:unhideWhenUsed/>
    <w:rsid w:val="00E8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Fiocco</dc:creator>
  <cp:keywords/>
  <dc:description/>
  <cp:lastModifiedBy>Emily Fiocco</cp:lastModifiedBy>
  <cp:revision>2</cp:revision>
  <dcterms:created xsi:type="dcterms:W3CDTF">2019-09-05T22:16:00Z</dcterms:created>
  <dcterms:modified xsi:type="dcterms:W3CDTF">2019-09-05T22:16:00Z</dcterms:modified>
</cp:coreProperties>
</file>